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1. Финансы хозяйствующих субъектов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 Понятие «банк», роль банков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ЗАДАЧА</w:t>
      </w:r>
      <w:r w:rsidRPr="00360D4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  Банк заключил с фирмой договор финансирования под уступку денежного требования.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Сумма уступаемого документа составляет 500 тыс. руб.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Ставка комиссионного вознаграждения, взимаемого банком, составляет 1,8%,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а размер процента по «факторинговому» кредиту – 30% годовых.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Рассчитайте, какую сумму получит банк, если срок оборачиваемости средств в расчетах установлен в 25 дней.</w:t>
      </w:r>
    </w:p>
    <w:p w:rsidR="00360D4C" w:rsidRPr="00360D4C" w:rsidRDefault="00360D4C" w:rsidP="00360D4C">
      <w:pPr>
        <w:shd w:val="clear" w:color="auto" w:fill="FFFFFF"/>
        <w:spacing w:after="105" w:line="25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0D4C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 также, следует ли банку проводить данную операцию, если её предметов является вексель, в тексте которого есть оговорка «не приказу», а фирма является первым векселедержателем. Ответ обоснуйте.</w:t>
      </w:r>
      <w:r w:rsidR="008113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менее 10 страниц.</w:t>
      </w:r>
    </w:p>
    <w:p w:rsidR="00E43B0A" w:rsidRDefault="00E43B0A"/>
    <w:sectPr w:rsidR="00E43B0A" w:rsidSect="000D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0D4C"/>
    <w:rsid w:val="000D473F"/>
    <w:rsid w:val="00360D4C"/>
    <w:rsid w:val="008113F5"/>
    <w:rsid w:val="00E4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виктор89</dc:creator>
  <cp:keywords/>
  <dc:description/>
  <cp:lastModifiedBy>виктор89</cp:lastModifiedBy>
  <cp:revision>4</cp:revision>
  <dcterms:created xsi:type="dcterms:W3CDTF">2013-04-22T11:50:00Z</dcterms:created>
  <dcterms:modified xsi:type="dcterms:W3CDTF">2013-04-22T11:54:00Z</dcterms:modified>
</cp:coreProperties>
</file>